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0105" w14:textId="686AF683" w:rsidR="002731C9" w:rsidRDefault="002731C9" w:rsidP="002731C9">
      <w:pPr>
        <w:rPr>
          <w:noProof/>
        </w:rPr>
      </w:pPr>
      <w:r>
        <w:rPr>
          <w:noProof/>
        </w:rPr>
        <w:drawing>
          <wp:inline distT="0" distB="0" distL="0" distR="0" wp14:anchorId="20CB0D25" wp14:editId="33920F92">
            <wp:extent cx="5943600" cy="1028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3112"/>
        <w:gridCol w:w="1584"/>
        <w:gridCol w:w="3682"/>
      </w:tblGrid>
      <w:tr w:rsidR="00ED2242" w:rsidRPr="00ED2242" w14:paraId="7177A5BF" w14:textId="77777777" w:rsidTr="00ED2242">
        <w:tc>
          <w:tcPr>
            <w:tcW w:w="9350" w:type="dxa"/>
            <w:gridSpan w:val="4"/>
          </w:tcPr>
          <w:p w14:paraId="59B99DA9" w14:textId="77777777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D224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AGENDA/MINUTES</w:t>
            </w:r>
          </w:p>
          <w:p w14:paraId="40E251CF" w14:textId="77777777" w:rsidR="00ED2242" w:rsidRPr="00ED2242" w:rsidRDefault="00ED2242" w:rsidP="00ED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D2242">
              <w:rPr>
                <w:rFonts w:ascii="Calibri" w:eastAsia="Times New Roman" w:hAnsi="Calibri" w:cs="Times New Roman"/>
                <w:b/>
                <w:bCs/>
              </w:rPr>
              <w:t xml:space="preserve"> Wenzel Park Home Owners Association Member Meeting</w:t>
            </w:r>
          </w:p>
          <w:p w14:paraId="45693DE0" w14:textId="2382543D" w:rsidR="00ED2242" w:rsidRPr="00ED2242" w:rsidRDefault="000E0591" w:rsidP="00ED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Wednesday</w:t>
            </w:r>
            <w:r w:rsidR="00ED2242" w:rsidRPr="00ED2242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June 2</w:t>
            </w:r>
            <w:r w:rsidR="00ED2242" w:rsidRPr="00ED2242">
              <w:rPr>
                <w:rFonts w:ascii="Calibri" w:eastAsia="Times New Roman" w:hAnsi="Calibri" w:cs="Times New Roman"/>
                <w:b/>
                <w:bCs/>
              </w:rPr>
              <w:t>9, 20</w:t>
            </w:r>
            <w:r>
              <w:rPr>
                <w:rFonts w:ascii="Calibri" w:eastAsia="Times New Roman" w:hAnsi="Calibri" w:cs="Times New Roman"/>
                <w:b/>
                <w:bCs/>
              </w:rPr>
              <w:t>22</w:t>
            </w:r>
            <w:r w:rsidR="00ED2242" w:rsidRPr="00ED2242">
              <w:rPr>
                <w:rFonts w:ascii="Calibri" w:eastAsia="Times New Roman" w:hAnsi="Calibri" w:cs="Times New Roman"/>
                <w:b/>
                <w:bCs/>
              </w:rPr>
              <w:t xml:space="preserve"> 6:</w:t>
            </w:r>
            <w:r w:rsidR="00DC1A61">
              <w:rPr>
                <w:rFonts w:ascii="Calibri" w:eastAsia="Times New Roman" w:hAnsi="Calibri" w:cs="Times New Roman"/>
                <w:b/>
                <w:bCs/>
              </w:rPr>
              <w:t>3</w:t>
            </w:r>
            <w:r w:rsidR="00333C40">
              <w:rPr>
                <w:rFonts w:ascii="Calibri" w:eastAsia="Times New Roman" w:hAnsi="Calibri" w:cs="Times New Roman"/>
                <w:b/>
                <w:bCs/>
              </w:rPr>
              <w:t>0</w:t>
            </w:r>
            <w:r w:rsidR="00ED2242" w:rsidRPr="00ED2242">
              <w:rPr>
                <w:rFonts w:ascii="Calibri" w:eastAsia="Times New Roman" w:hAnsi="Calibri" w:cs="Times New Roman"/>
                <w:b/>
                <w:bCs/>
              </w:rPr>
              <w:t>- 7:</w:t>
            </w:r>
            <w:r w:rsidR="00DC1A61">
              <w:rPr>
                <w:rFonts w:ascii="Calibri" w:eastAsia="Times New Roman" w:hAnsi="Calibri" w:cs="Times New Roman"/>
                <w:b/>
                <w:bCs/>
              </w:rPr>
              <w:t>0</w:t>
            </w:r>
            <w:r w:rsidR="00ED2242" w:rsidRPr="00ED2242">
              <w:rPr>
                <w:rFonts w:ascii="Calibri" w:eastAsia="Times New Roman" w:hAnsi="Calibri" w:cs="Times New Roman"/>
                <w:b/>
                <w:bCs/>
              </w:rPr>
              <w:t>0 pm</w:t>
            </w:r>
          </w:p>
        </w:tc>
      </w:tr>
      <w:tr w:rsidR="00ED2242" w:rsidRPr="00ED2242" w14:paraId="16505EED" w14:textId="77777777" w:rsidTr="008525C3">
        <w:tc>
          <w:tcPr>
            <w:tcW w:w="9350" w:type="dxa"/>
            <w:gridSpan w:val="4"/>
          </w:tcPr>
          <w:p w14:paraId="14A8C0AE" w14:textId="77777777" w:rsidR="00ED2242" w:rsidRPr="00ED2242" w:rsidRDefault="00ED2242" w:rsidP="00ED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D2242">
              <w:rPr>
                <w:rFonts w:ascii="Calibri" w:eastAsia="Times New Roman" w:hAnsi="Calibri" w:cs="Times New Roman"/>
                <w:b/>
                <w:bCs/>
              </w:rPr>
              <w:t>MEETING Attendees</w:t>
            </w:r>
          </w:p>
          <w:p w14:paraId="3E77D5C3" w14:textId="5C6F4D4A" w:rsidR="00ED2242" w:rsidRPr="00ED2242" w:rsidRDefault="00ED2242" w:rsidP="00ED224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80"/>
              </w:rPr>
            </w:pPr>
            <w:r w:rsidRPr="00ED22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Attendees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:</w:t>
            </w:r>
          </w:p>
        </w:tc>
      </w:tr>
      <w:tr w:rsidR="00ED2242" w:rsidRPr="00ED2242" w14:paraId="7F4640FA" w14:textId="77777777" w:rsidTr="00845877">
        <w:tc>
          <w:tcPr>
            <w:tcW w:w="972" w:type="dxa"/>
            <w:shd w:val="clear" w:color="auto" w:fill="FFE599" w:themeFill="accent4" w:themeFillTint="66"/>
          </w:tcPr>
          <w:p w14:paraId="24566FB5" w14:textId="77777777" w:rsidR="00ED2242" w:rsidRPr="00ED2242" w:rsidRDefault="00ED2242" w:rsidP="00ED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</w:rPr>
            </w:pPr>
            <w:r w:rsidRPr="00ED2242">
              <w:rPr>
                <w:rFonts w:ascii="Calibri" w:eastAsia="Times New Roman" w:hAnsi="Calibri" w:cs="Times New Roman"/>
                <w:b/>
                <w:bCs/>
                <w:color w:val="000080"/>
              </w:rPr>
              <w:t>TIME</w:t>
            </w:r>
          </w:p>
          <w:p w14:paraId="230842C8" w14:textId="77777777" w:rsidR="00ED2242" w:rsidRPr="00ED2242" w:rsidRDefault="00ED2242" w:rsidP="00ED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FF"/>
                <w:highlight w:val="lightGray"/>
              </w:rPr>
            </w:pPr>
          </w:p>
        </w:tc>
        <w:tc>
          <w:tcPr>
            <w:tcW w:w="3112" w:type="dxa"/>
            <w:shd w:val="clear" w:color="auto" w:fill="FFE599" w:themeFill="accent4" w:themeFillTint="66"/>
          </w:tcPr>
          <w:p w14:paraId="0EF6A5D6" w14:textId="77777777" w:rsidR="00ED2242" w:rsidRPr="00ED2242" w:rsidRDefault="00ED2242" w:rsidP="00ED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highlight w:val="lightGray"/>
              </w:rPr>
            </w:pPr>
            <w:r w:rsidRPr="00ED2242">
              <w:rPr>
                <w:rFonts w:ascii="Calibri" w:eastAsia="Times New Roman" w:hAnsi="Calibri" w:cs="Times New Roman"/>
                <w:b/>
                <w:bCs/>
                <w:color w:val="000080"/>
              </w:rPr>
              <w:t>TOPIC</w:t>
            </w:r>
          </w:p>
        </w:tc>
        <w:tc>
          <w:tcPr>
            <w:tcW w:w="1584" w:type="dxa"/>
            <w:shd w:val="clear" w:color="auto" w:fill="FFE599" w:themeFill="accent4" w:themeFillTint="66"/>
          </w:tcPr>
          <w:p w14:paraId="2744B88B" w14:textId="77777777" w:rsidR="00ED2242" w:rsidRPr="00ED2242" w:rsidRDefault="00ED2242" w:rsidP="00ED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highlight w:val="lightGray"/>
              </w:rPr>
            </w:pPr>
            <w:r w:rsidRPr="00ED2242">
              <w:rPr>
                <w:rFonts w:ascii="Calibri" w:eastAsia="Times New Roman" w:hAnsi="Calibri" w:cs="Times New Roman"/>
                <w:b/>
                <w:bCs/>
                <w:color w:val="000080"/>
              </w:rPr>
              <w:t>PRESENTER(S)</w:t>
            </w:r>
          </w:p>
        </w:tc>
        <w:tc>
          <w:tcPr>
            <w:tcW w:w="3682" w:type="dxa"/>
            <w:shd w:val="clear" w:color="auto" w:fill="FFE599" w:themeFill="accent4" w:themeFillTint="66"/>
          </w:tcPr>
          <w:p w14:paraId="12687002" w14:textId="77777777" w:rsidR="00ED2242" w:rsidRPr="00ED2242" w:rsidRDefault="00ED2242" w:rsidP="00ED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</w:rPr>
            </w:pPr>
            <w:r w:rsidRPr="00ED2242">
              <w:rPr>
                <w:rFonts w:ascii="Calibri" w:eastAsia="Times New Roman" w:hAnsi="Calibri" w:cs="Times New Roman"/>
                <w:b/>
                <w:bCs/>
                <w:color w:val="000080"/>
              </w:rPr>
              <w:t>DECISION</w:t>
            </w:r>
          </w:p>
          <w:p w14:paraId="4B9DC974" w14:textId="77777777" w:rsidR="00ED2242" w:rsidRPr="00ED2242" w:rsidRDefault="00ED2242" w:rsidP="00ED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highlight w:val="lightGray"/>
              </w:rPr>
            </w:pPr>
            <w:r w:rsidRPr="00ED2242">
              <w:rPr>
                <w:rFonts w:ascii="Calibri" w:eastAsia="Times New Roman" w:hAnsi="Calibri" w:cs="Times New Roman"/>
                <w:b/>
                <w:bCs/>
                <w:color w:val="000080"/>
              </w:rPr>
              <w:t xml:space="preserve">ACTION NEEDED  </w:t>
            </w:r>
          </w:p>
        </w:tc>
      </w:tr>
      <w:tr w:rsidR="00ED2242" w:rsidRPr="00ED2242" w14:paraId="0A298816" w14:textId="77777777" w:rsidTr="00ED2242">
        <w:trPr>
          <w:trHeight w:val="314"/>
        </w:trPr>
        <w:tc>
          <w:tcPr>
            <w:tcW w:w="972" w:type="dxa"/>
          </w:tcPr>
          <w:p w14:paraId="4537AEDB" w14:textId="79C5BACD" w:rsidR="00ED2242" w:rsidRPr="00ED2242" w:rsidRDefault="00ED2242" w:rsidP="00ED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6:</w:t>
            </w:r>
            <w:r w:rsidR="00DC1A6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3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0</w:t>
            </w: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PM</w:t>
            </w:r>
          </w:p>
        </w:tc>
        <w:tc>
          <w:tcPr>
            <w:tcW w:w="3112" w:type="dxa"/>
          </w:tcPr>
          <w:p w14:paraId="043BE11A" w14:textId="77777777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Call meeting to Order</w:t>
            </w:r>
          </w:p>
          <w:p w14:paraId="0837583F" w14:textId="105653FE" w:rsidR="00ED2242" w:rsidRPr="00ED2242" w:rsidRDefault="00ED2242" w:rsidP="00ED2242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Roll call of Members</w:t>
            </w:r>
          </w:p>
          <w:p w14:paraId="222A4709" w14:textId="5AE0E162" w:rsidR="00ED2242" w:rsidRDefault="00ED2242" w:rsidP="00ED2242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Proof of Notice of meeting</w:t>
            </w:r>
          </w:p>
          <w:p w14:paraId="00334997" w14:textId="77777777" w:rsidR="00DC4954" w:rsidRDefault="00DC4954" w:rsidP="00DC4954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55111C8" w14:textId="6DF6B59F" w:rsidR="00DD5CC7" w:rsidRPr="00ED2242" w:rsidRDefault="00DD5CC7" w:rsidP="00ED2242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Review of last </w:t>
            </w:r>
            <w:r w:rsidR="00431B1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year’s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meeting minutes: </w:t>
            </w:r>
          </w:p>
        </w:tc>
        <w:tc>
          <w:tcPr>
            <w:tcW w:w="1584" w:type="dxa"/>
          </w:tcPr>
          <w:p w14:paraId="6F48D261" w14:textId="77777777" w:rsid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Wendy Wilson, HOA President</w:t>
            </w:r>
          </w:p>
          <w:p w14:paraId="586CAD3F" w14:textId="77777777" w:rsidR="00431B1A" w:rsidRDefault="00431B1A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7F91EDFC" w14:textId="77777777" w:rsidR="00431B1A" w:rsidRDefault="00431B1A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0223FF80" w14:textId="352715D5" w:rsidR="00431B1A" w:rsidRPr="00ED2242" w:rsidRDefault="00431B1A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Rob Grande, Secretary</w:t>
            </w:r>
          </w:p>
        </w:tc>
        <w:tc>
          <w:tcPr>
            <w:tcW w:w="3682" w:type="dxa"/>
          </w:tcPr>
          <w:p w14:paraId="3A0D7CCF" w14:textId="77777777" w:rsidR="00ED2242" w:rsidRPr="00ED2242" w:rsidRDefault="00ED2242" w:rsidP="00ED2242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All board members present</w:t>
            </w:r>
          </w:p>
          <w:p w14:paraId="0E41364E" w14:textId="4C516AFE" w:rsidR="00B10DFB" w:rsidRPr="008F5960" w:rsidRDefault="00ED2242" w:rsidP="00B10DFB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Introductions of </w:t>
            </w:r>
            <w:r w:rsidR="008F5960"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homeowners</w:t>
            </w:r>
            <w:r w:rsidR="00DC495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present</w:t>
            </w:r>
          </w:p>
          <w:p w14:paraId="563DD450" w14:textId="288BA56F" w:rsidR="00431B1A" w:rsidRDefault="00B10DFB" w:rsidP="00431B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By way of </w:t>
            </w:r>
            <w:r w:rsidR="00DD5CC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email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notice and </w:t>
            </w:r>
            <w:r w:rsidR="00DC495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genda</w:t>
            </w:r>
          </w:p>
          <w:p w14:paraId="739BC196" w14:textId="20A85A65" w:rsidR="00B65B0E" w:rsidRPr="00431B1A" w:rsidRDefault="00B65B0E" w:rsidP="00431B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 quorum of members was verified</w:t>
            </w:r>
          </w:p>
          <w:p w14:paraId="3279EA98" w14:textId="6AED9EDC" w:rsidR="00431B1A" w:rsidRPr="00B10DFB" w:rsidRDefault="00431B1A" w:rsidP="00B10DF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By way of </w:t>
            </w:r>
            <w:r w:rsidR="005F156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meeting PowerPoint. Minutes accepted</w:t>
            </w:r>
          </w:p>
        </w:tc>
      </w:tr>
      <w:tr w:rsidR="00ED2242" w:rsidRPr="00ED2242" w14:paraId="1B542156" w14:textId="77777777" w:rsidTr="00845877">
        <w:trPr>
          <w:trHeight w:val="125"/>
        </w:trPr>
        <w:tc>
          <w:tcPr>
            <w:tcW w:w="972" w:type="dxa"/>
            <w:shd w:val="clear" w:color="auto" w:fill="FFE599" w:themeFill="accent4" w:themeFillTint="66"/>
          </w:tcPr>
          <w:p w14:paraId="765676AD" w14:textId="77777777" w:rsidR="00ED2242" w:rsidRPr="00ED2242" w:rsidRDefault="00ED2242" w:rsidP="00ED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FFE599" w:themeFill="accent4" w:themeFillTint="66"/>
          </w:tcPr>
          <w:p w14:paraId="6E13BE03" w14:textId="77777777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FE599" w:themeFill="accent4" w:themeFillTint="66"/>
          </w:tcPr>
          <w:p w14:paraId="066D59FA" w14:textId="77777777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3682" w:type="dxa"/>
            <w:shd w:val="clear" w:color="auto" w:fill="FFE599" w:themeFill="accent4" w:themeFillTint="66"/>
          </w:tcPr>
          <w:p w14:paraId="2C217A0D" w14:textId="77777777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</w:tr>
      <w:tr w:rsidR="00ED2242" w:rsidRPr="00ED2242" w14:paraId="251C51BC" w14:textId="77777777" w:rsidTr="00ED2242">
        <w:tc>
          <w:tcPr>
            <w:tcW w:w="972" w:type="dxa"/>
          </w:tcPr>
          <w:p w14:paraId="058FA734" w14:textId="00BC883C" w:rsidR="00ED2242" w:rsidRPr="00ED2242" w:rsidRDefault="00ED2242" w:rsidP="00ED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6:</w:t>
            </w:r>
            <w:r w:rsidR="00DC495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35</w:t>
            </w:r>
            <w:r w:rsidR="005149D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PM</w:t>
            </w: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</w:tcPr>
          <w:p w14:paraId="272ACA67" w14:textId="5BF38CB2" w:rsidR="00F3086E" w:rsidRDefault="00ED2242" w:rsidP="00F3086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Reports of </w:t>
            </w:r>
            <w:r w:rsidR="00EE1B07"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officers if</w:t>
            </w: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any</w:t>
            </w:r>
            <w:r w:rsidR="00DC495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:</w:t>
            </w:r>
          </w:p>
          <w:p w14:paraId="0169EBEB" w14:textId="5ABD31C2" w:rsidR="00ED2242" w:rsidRPr="00F3086E" w:rsidRDefault="00F3086E" w:rsidP="00F3086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F3086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</w:t>
            </w:r>
            <w:r w:rsidR="005F156B" w:rsidRPr="00F3086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021-2022</w:t>
            </w:r>
            <w:r w:rsidR="00ED2242" w:rsidRPr="00F3086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Budget</w:t>
            </w:r>
          </w:p>
          <w:p w14:paraId="094CCDA8" w14:textId="1A522187" w:rsidR="00F3086E" w:rsidRDefault="00F3086E" w:rsidP="00F3086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5BDCF2A3" w14:textId="465532B4" w:rsidR="00F3086E" w:rsidRDefault="00F3086E" w:rsidP="00F3086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4D86F4E9" w14:textId="4D6E8076" w:rsidR="00F3086E" w:rsidRDefault="00F3086E" w:rsidP="00F3086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23430556" w14:textId="77777777" w:rsidR="00F3086E" w:rsidRPr="00F3086E" w:rsidRDefault="00F3086E" w:rsidP="00F3086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578C52FD" w14:textId="0337A21A" w:rsidR="00ED2242" w:rsidRDefault="00ED2242" w:rsidP="00F3086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WP Common Area </w:t>
            </w:r>
            <w:r w:rsidR="00995BE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Fire </w:t>
            </w:r>
            <w:r w:rsidR="00CA6B8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Prevention</w:t>
            </w:r>
            <w:r w:rsidR="00995BE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-</w:t>
            </w:r>
            <w:r w:rsidR="005149D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Maintenance</w:t>
            </w:r>
          </w:p>
          <w:p w14:paraId="520E97CC" w14:textId="49E0EEA1" w:rsidR="005149D1" w:rsidRDefault="005149D1" w:rsidP="005149D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552F6C94" w14:textId="17655EA8" w:rsidR="005149D1" w:rsidRDefault="005149D1" w:rsidP="005149D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26ED144C" w14:textId="7030631A" w:rsidR="005149D1" w:rsidRDefault="005149D1" w:rsidP="005149D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0B56BED4" w14:textId="19E39187" w:rsidR="005149D1" w:rsidRDefault="005149D1" w:rsidP="005149D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4A529899" w14:textId="5DB4F408" w:rsidR="005149D1" w:rsidRDefault="005149D1" w:rsidP="005149D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0202B791" w14:textId="3D48F54A" w:rsidR="005149D1" w:rsidRDefault="005149D1" w:rsidP="005149D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2F6F9E4" w14:textId="47DD80C9" w:rsidR="005149D1" w:rsidRDefault="005149D1" w:rsidP="005149D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17A27A82" w14:textId="4F429EBF" w:rsidR="005149D1" w:rsidRDefault="005149D1" w:rsidP="005149D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49D0F734" w14:textId="70A85C5B" w:rsidR="005149D1" w:rsidRDefault="005149D1" w:rsidP="005149D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05EC006E" w14:textId="77777777" w:rsidR="005149D1" w:rsidRPr="00ED2242" w:rsidRDefault="005149D1" w:rsidP="005149D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A766518" w14:textId="77777777" w:rsidR="00ED2242" w:rsidRDefault="00ED2242" w:rsidP="000B79EA">
            <w:pPr>
              <w:spacing w:after="0" w:line="240" w:lineRule="auto"/>
              <w:ind w:left="99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72A1E7C9" w14:textId="77777777" w:rsidR="000B79EA" w:rsidRDefault="000B79EA" w:rsidP="000B79EA">
            <w:pPr>
              <w:spacing w:after="0" w:line="240" w:lineRule="auto"/>
              <w:ind w:left="99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423C7BDE" w14:textId="77777777" w:rsidR="000B79EA" w:rsidRDefault="000B79EA" w:rsidP="000B79EA">
            <w:pPr>
              <w:spacing w:after="0" w:line="240" w:lineRule="auto"/>
              <w:ind w:left="99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40BFA4A9" w14:textId="77777777" w:rsidR="000B79EA" w:rsidRDefault="000B79EA" w:rsidP="000B79EA">
            <w:pPr>
              <w:spacing w:after="0" w:line="240" w:lineRule="auto"/>
              <w:ind w:left="99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50115945" w14:textId="77777777" w:rsidR="000B79EA" w:rsidRDefault="000B79EA" w:rsidP="000B79EA">
            <w:pPr>
              <w:spacing w:after="0" w:line="240" w:lineRule="auto"/>
              <w:ind w:left="99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7AA4DDB2" w14:textId="77777777" w:rsidR="000B79EA" w:rsidRDefault="000B79EA" w:rsidP="000B79EA">
            <w:pPr>
              <w:spacing w:after="0" w:line="240" w:lineRule="auto"/>
              <w:ind w:left="99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7DDDABF0" w14:textId="7E3DA784" w:rsidR="000B79EA" w:rsidRDefault="000B79EA" w:rsidP="00995B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1E5068AB" w14:textId="77777777" w:rsidR="00995BE1" w:rsidRDefault="00995BE1" w:rsidP="00995BE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554B6B6D" w14:textId="6A5BB9B0" w:rsidR="000B79EA" w:rsidRDefault="000B79EA" w:rsidP="000B79E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Landscaping </w:t>
            </w:r>
            <w:r w:rsidR="007E203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Maintenance of common areas</w:t>
            </w:r>
          </w:p>
          <w:p w14:paraId="475A542B" w14:textId="77777777" w:rsidR="000B79EA" w:rsidRDefault="000B79EA" w:rsidP="000B79EA">
            <w:pPr>
              <w:spacing w:after="0" w:line="240" w:lineRule="auto"/>
              <w:ind w:left="99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2DBA4FFE" w14:textId="77777777" w:rsidR="000B79EA" w:rsidRDefault="000B79EA" w:rsidP="000B79EA">
            <w:pPr>
              <w:spacing w:after="0" w:line="240" w:lineRule="auto"/>
              <w:ind w:left="99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6DBF4C09" w14:textId="77777777" w:rsidR="000B79EA" w:rsidRDefault="000B79EA" w:rsidP="000B79EA">
            <w:pPr>
              <w:spacing w:after="0" w:line="240" w:lineRule="auto"/>
              <w:ind w:left="99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28A0CE50" w14:textId="77777777" w:rsidR="000B79EA" w:rsidRDefault="000B79EA" w:rsidP="000B79EA">
            <w:pPr>
              <w:spacing w:after="0" w:line="240" w:lineRule="auto"/>
              <w:ind w:left="99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7017F0B4" w14:textId="77777777" w:rsidR="000B79EA" w:rsidRDefault="000B79EA" w:rsidP="000B79EA">
            <w:pPr>
              <w:spacing w:after="0" w:line="240" w:lineRule="auto"/>
              <w:ind w:left="99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258F2A12" w14:textId="77777777" w:rsidR="000B79EA" w:rsidRDefault="000B79EA" w:rsidP="000B79EA">
            <w:pPr>
              <w:spacing w:after="0" w:line="240" w:lineRule="auto"/>
              <w:ind w:left="99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220DC1E8" w14:textId="51B6D66F" w:rsidR="000B79EA" w:rsidRDefault="000B79EA" w:rsidP="00F3086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6E4D337E" w14:textId="0DCC2963" w:rsidR="008371CA" w:rsidRDefault="008371CA" w:rsidP="000B79EA">
            <w:pPr>
              <w:spacing w:after="0" w:line="240" w:lineRule="auto"/>
              <w:ind w:left="99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6C5C7675" w14:textId="323948E3" w:rsidR="00995BE1" w:rsidRDefault="00995BE1" w:rsidP="000B79EA">
            <w:pPr>
              <w:spacing w:after="0" w:line="240" w:lineRule="auto"/>
              <w:ind w:left="99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5AADF2F9" w14:textId="77777777" w:rsidR="00995BE1" w:rsidRDefault="00995BE1" w:rsidP="000B79EA">
            <w:pPr>
              <w:spacing w:after="0" w:line="240" w:lineRule="auto"/>
              <w:ind w:left="99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0C81F8B2" w14:textId="77777777" w:rsidR="00EE2B4D" w:rsidRDefault="00EE2B4D" w:rsidP="00F3086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4F20085E" w14:textId="77777777" w:rsidR="00EE2B4D" w:rsidRDefault="00EE2B4D" w:rsidP="00F3086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2DEFECCD" w14:textId="470653E2" w:rsidR="000B79EA" w:rsidRPr="00F3086E" w:rsidRDefault="000B79EA" w:rsidP="00F3086E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F3086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CC&amp;R </w:t>
            </w:r>
            <w:r w:rsidR="007F4D8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Homeowner Yard Maintenance</w:t>
            </w:r>
            <w:r w:rsidRPr="00F3086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14:paraId="5309B7CE" w14:textId="595E0BCC" w:rsidR="00E36067" w:rsidRDefault="00E36067" w:rsidP="00E3606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07F77119" w14:textId="3ABA7358" w:rsidR="00E36067" w:rsidRDefault="00E36067" w:rsidP="00E3606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1DE7D7B4" w14:textId="624ADAF9" w:rsidR="00E36067" w:rsidRDefault="00E36067" w:rsidP="00E3606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6CBF6057" w14:textId="04DFDA4D" w:rsidR="00E36067" w:rsidRDefault="00E36067" w:rsidP="00E3606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1AC676A5" w14:textId="4AC25409" w:rsidR="00E36067" w:rsidRDefault="00E36067" w:rsidP="00E3606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1C1EAAAC" w14:textId="5F86544F" w:rsidR="00E36067" w:rsidRDefault="00E36067" w:rsidP="00E3606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F5D5402" w14:textId="7A6CAD7C" w:rsidR="00E36067" w:rsidRDefault="00E36067" w:rsidP="00E3606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648694E" w14:textId="12FCA789" w:rsidR="00E36067" w:rsidRDefault="00E36067" w:rsidP="00E3606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01B3F037" w14:textId="6F131F5B" w:rsidR="00E36067" w:rsidRDefault="00E36067" w:rsidP="00E3606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4BA6DACD" w14:textId="5B24B4E0" w:rsidR="00E36067" w:rsidRDefault="00E36067" w:rsidP="00E3606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2A3BDD61" w14:textId="79E94605" w:rsidR="00E36067" w:rsidRDefault="00E36067" w:rsidP="00E3606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F62857C" w14:textId="77777777" w:rsidR="00B2772A" w:rsidRDefault="00B2772A" w:rsidP="00E3606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DCB0765" w14:textId="33E63A01" w:rsidR="00E36067" w:rsidRPr="00E36067" w:rsidRDefault="00E36067" w:rsidP="00E3606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Expanding the HOA to incorporate</w:t>
            </w:r>
            <w:r w:rsidR="007F4A2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the North area </w:t>
            </w:r>
            <w:r w:rsidR="000F4B1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of Wenzel Drive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0F4B1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(</w:t>
            </w:r>
            <w:r w:rsidR="007F4A2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Islands Wood and </w:t>
            </w:r>
            <w:r w:rsidR="001A72A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Wyatt Park </w:t>
            </w:r>
            <w:r w:rsidR="004E4D8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(Crosswater way)</w:t>
            </w:r>
            <w:r w:rsidR="007F4A2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neighborhood</w:t>
            </w:r>
            <w:r w:rsidR="004E4D8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</w:p>
          <w:p w14:paraId="074E37C6" w14:textId="77777777" w:rsidR="00E36067" w:rsidRDefault="00E36067" w:rsidP="00E36067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49374717" w14:textId="77777777" w:rsidR="00E36067" w:rsidRDefault="00E36067" w:rsidP="00E36067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1E92BC6D" w14:textId="77777777" w:rsidR="00E36067" w:rsidRDefault="00E36067" w:rsidP="00E36067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61632400" w14:textId="77777777" w:rsidR="00E36067" w:rsidRDefault="00E36067" w:rsidP="00E36067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5C259B04" w14:textId="77777777" w:rsidR="00E36067" w:rsidRDefault="00E36067" w:rsidP="00E36067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321A4F7" w14:textId="77777777" w:rsidR="00E36067" w:rsidRDefault="00E36067" w:rsidP="00E36067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B43B76F" w14:textId="77777777" w:rsidR="00E36067" w:rsidRDefault="00E36067" w:rsidP="00E36067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651D906D" w14:textId="77777777" w:rsidR="00E36067" w:rsidRDefault="00E36067" w:rsidP="00E36067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447E0110" w14:textId="77777777" w:rsidR="00251753" w:rsidRDefault="00251753" w:rsidP="00E3606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08F53F62" w14:textId="6F69AF7B" w:rsidR="004C5B73" w:rsidRPr="00E36067" w:rsidRDefault="004C5B73" w:rsidP="00E36067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Short Term Rentals (</w:t>
            </w:r>
            <w:r w:rsidR="00103E5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Airbnb, VRBO, etc.) </w:t>
            </w:r>
          </w:p>
        </w:tc>
        <w:tc>
          <w:tcPr>
            <w:tcW w:w="1584" w:type="dxa"/>
          </w:tcPr>
          <w:p w14:paraId="3056298B" w14:textId="77777777" w:rsidR="00F3086E" w:rsidRDefault="00F3086E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52E43147" w14:textId="77777777" w:rsidR="00DC4954" w:rsidRDefault="00DC1A61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Jim Harris,</w:t>
            </w:r>
            <w:r w:rsidR="00ED2242"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Treasurer</w:t>
            </w:r>
          </w:p>
          <w:p w14:paraId="0B0620DD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56B6E6D4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52003691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2E6C0B25" w14:textId="77777777" w:rsidR="00ED2242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Wendy Wilson, President</w:t>
            </w:r>
            <w:r w:rsidR="00ED2242"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14:paraId="16C67AB2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409936FA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1414B3F5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6BAC280D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20DC4344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F50C922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6CF03D9E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4DBFF274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420F7731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018D0F18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6521F51B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B283DF5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7E9D4E43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1CEEFC6B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642DCF7C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0DEE6E27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C755707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2F46E9E7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5531A241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Wendy Wilson, President</w:t>
            </w:r>
          </w:p>
          <w:p w14:paraId="33777F01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C6C75B4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267D616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B49BCD8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7335C8F8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4FB787A2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496CF3DE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8A1E2ED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F3DA99F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2F5E9815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C09ED83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6573FC96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06834084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Wendy Wilson, President</w:t>
            </w:r>
          </w:p>
          <w:p w14:paraId="0A038D73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150E1A64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6ABA4800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6746AF6C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20755396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9066901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35D3C822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6D72BE21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009A904B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088A0F56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14868E9E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47D5565F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58309B57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Wendy Wilson, President</w:t>
            </w:r>
          </w:p>
          <w:p w14:paraId="1311D718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6B4C4095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7AD0E8BC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56E84473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616505AD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05EA3B57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5D4AEF29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29368680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4BE98D74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2AF2E3AB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1527E225" w14:textId="77777777" w:rsidR="00DC4954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438D39CA" w14:textId="361B6EA6" w:rsidR="00DC4954" w:rsidRPr="00ED2242" w:rsidRDefault="00DC495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Wendy Wilson, President</w:t>
            </w:r>
          </w:p>
        </w:tc>
        <w:tc>
          <w:tcPr>
            <w:tcW w:w="3682" w:type="dxa"/>
          </w:tcPr>
          <w:p w14:paraId="4B3529BF" w14:textId="77777777" w:rsidR="00F53533" w:rsidRDefault="00F53533" w:rsidP="00F53533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1BEED426" w14:textId="00395300" w:rsidR="00ED2242" w:rsidRPr="00ED2242" w:rsidRDefault="00ED2242" w:rsidP="00ED224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Income</w:t>
            </w:r>
            <w:r w:rsidR="00B10DF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</w:t>
            </w: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Expenses</w:t>
            </w:r>
            <w:r w:rsidR="00B10DF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and</w:t>
            </w:r>
            <w:r w:rsidR="00B10DFB"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B10DFB"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Ending balance  </w:t>
            </w: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reviewed.  This balance allows for future maintenance of trees, fencing</w:t>
            </w:r>
            <w:r w:rsidR="00B10DF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repairs, landscaping of common areas</w:t>
            </w: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, attorney fees </w:t>
            </w:r>
            <w:r w:rsidR="00020C71"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etc.</w:t>
            </w:r>
          </w:p>
          <w:p w14:paraId="5EECABB8" w14:textId="11681EC3" w:rsidR="00AE5030" w:rsidRPr="00F12C10" w:rsidRDefault="00B278A7" w:rsidP="00AE5030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HOA </w:t>
            </w:r>
            <w:r w:rsidR="005149D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resident </w:t>
            </w:r>
            <w:r w:rsidRPr="00B278A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met with Mt Hood Landscaping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owner, Nate, </w:t>
            </w:r>
            <w:r w:rsidR="00F5164D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to obtain a bid for </w:t>
            </w:r>
            <w:r w:rsidRPr="00B278A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cleaning up </w:t>
            </w:r>
            <w:r w:rsidR="00F87EC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trees/debris in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HOA common areas</w:t>
            </w:r>
            <w:r w:rsidR="00F87EC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as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suggested by the</w:t>
            </w:r>
            <w:r w:rsidRPr="00B278A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city of HV fire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-</w:t>
            </w:r>
            <w:r w:rsidRPr="00B278A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fuel prevention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specialist</w:t>
            </w:r>
            <w:r w:rsidRPr="00B278A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. </w:t>
            </w:r>
            <w:r w:rsidR="00F1683D" w:rsidRPr="009C0FF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6E52C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The g</w:t>
            </w:r>
            <w:r w:rsidR="00F1683D" w:rsidRPr="009C0FF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oal is to gradually</w:t>
            </w:r>
            <w:r w:rsidR="00C875B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</w:t>
            </w:r>
            <w:r w:rsidR="00F1683D" w:rsidRPr="009C0FF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each year</w:t>
            </w:r>
            <w:r w:rsidR="00C875B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 hire</w:t>
            </w:r>
            <w:r w:rsidR="00B33500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the</w:t>
            </w:r>
            <w:r w:rsidR="00C875B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landscaper</w:t>
            </w:r>
            <w:r w:rsidR="00F1683D" w:rsidRPr="009C0FF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2A4655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to</w:t>
            </w:r>
            <w:r w:rsidR="00F1683D" w:rsidRPr="009C0FF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keep the trees limbed up to 10’ and debris away from houses and fences.  </w:t>
            </w:r>
            <w:r w:rsidRPr="00B278A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14:paraId="747BDA15" w14:textId="35CD1CE6" w:rsidR="00283FE2" w:rsidRDefault="00845877" w:rsidP="00283FE2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The HOA members present were asked if</w:t>
            </w:r>
            <w:r w:rsidR="005149D1" w:rsidRPr="009C0FF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AE5030" w:rsidRPr="009C0FF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this fire prevention strategy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was</w:t>
            </w:r>
            <w:r w:rsidR="00AE5030" w:rsidRPr="009C0FF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s</w:t>
            </w:r>
            <w:r w:rsidR="00B278A7" w:rsidRPr="009C0FF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omething</w:t>
            </w:r>
            <w:r w:rsidR="00AE5030" w:rsidRPr="009C0FF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the</w:t>
            </w:r>
            <w:r w:rsidR="006E52C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y </w:t>
            </w:r>
            <w:r w:rsidR="00AE5030" w:rsidRPr="009C0FF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are </w:t>
            </w:r>
            <w:r w:rsidR="000A78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in support of</w:t>
            </w:r>
            <w:r w:rsidR="00B278A7" w:rsidRPr="009C0FF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F12C10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for the </w:t>
            </w:r>
            <w:r w:rsidR="006E52C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safety of the </w:t>
            </w:r>
            <w:r w:rsidR="00F12C10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neighborhood</w:t>
            </w:r>
            <w:r w:rsidR="00F1683D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  <w:r w:rsidR="00D56AA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By way of a show of hands, a </w:t>
            </w:r>
            <w:r w:rsidR="00913630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unanimous agreement was made in support of a</w:t>
            </w:r>
            <w:r w:rsidR="00E6065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dopting the f</w:t>
            </w:r>
            <w:r w:rsidR="00E7467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</w:t>
            </w:r>
            <w:r w:rsidR="00E6065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re</w:t>
            </w:r>
            <w:r w:rsidR="00E7467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E6065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prevention </w:t>
            </w:r>
            <w:r w:rsidR="00E7467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maintenance</w:t>
            </w:r>
            <w:r w:rsidR="00E6065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677FF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plan for</w:t>
            </w:r>
            <w:r w:rsidR="00E6065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the common area tracts. </w:t>
            </w:r>
            <w:r w:rsidR="00F1683D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B278A7" w:rsidRPr="009C0FF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14:paraId="6574A532" w14:textId="77777777" w:rsidR="00D023AA" w:rsidRDefault="00D023AA" w:rsidP="00283FE2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45DDF350" w14:textId="57D07BAA" w:rsidR="00B278A7" w:rsidRPr="00B278A7" w:rsidRDefault="00D023AA" w:rsidP="00283FE2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Mt Hood Landscaping is the </w:t>
            </w:r>
            <w:r w:rsidR="007E203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current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HOA landscaping company.  Recently there have been complaints </w:t>
            </w:r>
            <w:r w:rsidR="00E66BD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from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HOA members that the quality of the landscaping </w:t>
            </w:r>
            <w:r w:rsidR="00E66BD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has deteriorated.  The </w:t>
            </w:r>
            <w:r w:rsidR="007E203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HOA </w:t>
            </w:r>
            <w:r w:rsidR="00E66BD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President </w:t>
            </w:r>
            <w:r w:rsidR="002B676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will meet with the </w:t>
            </w:r>
            <w:r w:rsidR="004828D5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Mt Hood Landscaping Co’s </w:t>
            </w:r>
            <w:r w:rsidR="002B676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owner to review</w:t>
            </w:r>
            <w:r w:rsidR="004828D5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the contract and</w:t>
            </w:r>
            <w:r w:rsidR="002B676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all of the common areas in the contract and set expectations. Previously the owner </w:t>
            </w:r>
            <w:r w:rsidR="004828D5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stated</w:t>
            </w:r>
            <w:r w:rsidR="002B676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his company was having </w:t>
            </w:r>
            <w:r w:rsidR="004828D5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 lot o</w:t>
            </w:r>
            <w:r w:rsidR="008371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</w:t>
            </w:r>
            <w:r w:rsidR="002B676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turnover of crews so that has led to </w:t>
            </w:r>
            <w:r w:rsidR="000B79E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some </w:t>
            </w:r>
            <w:r w:rsidR="002B676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confusion</w:t>
            </w:r>
            <w:r w:rsidR="00EE2B4D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and poor follow-thru on maintenance. </w:t>
            </w:r>
          </w:p>
          <w:p w14:paraId="6ECC2DC9" w14:textId="68BE56C7" w:rsidR="00B278A7" w:rsidRDefault="00B278A7" w:rsidP="00B278A7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B278A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Speaking of landscaping…we are all responsible to maintain our own yards and the strips between our houses and the </w:t>
            </w:r>
            <w:r w:rsidR="00836A2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sidewalk and the </w:t>
            </w:r>
            <w:r w:rsidRPr="00B278A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street.  There are </w:t>
            </w:r>
            <w:r w:rsidR="005078B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yard maintenance </w:t>
            </w:r>
            <w:r w:rsidR="0008490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standards</w:t>
            </w:r>
            <w:r w:rsidRPr="00B278A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E3606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and penalties </w:t>
            </w:r>
            <w:r w:rsidR="0045583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listed in</w:t>
            </w:r>
            <w:r w:rsidRPr="00B278A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the </w:t>
            </w:r>
            <w:hyperlink r:id="rId8" w:history="1">
              <w:r w:rsidRPr="00457CAB">
                <w:rPr>
                  <w:rStyle w:val="Hyperlink"/>
                  <w:rFonts w:ascii="Calibri" w:eastAsia="Times New Roman" w:hAnsi="Calibri" w:cs="Times New Roman"/>
                  <w:bCs/>
                  <w:sz w:val="20"/>
                  <w:szCs w:val="20"/>
                </w:rPr>
                <w:t>CC&amp;R’s</w:t>
              </w:r>
            </w:hyperlink>
            <w:r w:rsidR="005850A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for expected maintenance. There have been complaints</w:t>
            </w:r>
            <w:r w:rsidR="005078B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made to the HOA board</w:t>
            </w:r>
            <w:r w:rsidR="005850A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that some homeowner</w:t>
            </w:r>
            <w:r w:rsidR="00C0168D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 are not maintaining their yards per the CC&amp;R</w:t>
            </w:r>
            <w:r w:rsidR="00F0376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standards</w:t>
            </w:r>
            <w:r w:rsidR="00C0168D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.  </w:t>
            </w:r>
            <w:r w:rsidRPr="00B278A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Please take care of your yard and help your neighbor if needed.</w:t>
            </w:r>
            <w:r w:rsidR="005078B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14:paraId="1B0053F5" w14:textId="77777777" w:rsidR="000F4B1C" w:rsidRPr="00B278A7" w:rsidRDefault="000F4B1C" w:rsidP="000F4B1C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09BEC24F" w14:textId="1C5B2366" w:rsidR="00B278A7" w:rsidRDefault="000F4B1C" w:rsidP="00B278A7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Last year there was some interest expressed </w:t>
            </w:r>
            <w:r w:rsidR="00F34C0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by some HOA members</w:t>
            </w:r>
            <w:r w:rsidR="00B278A7" w:rsidRPr="00B278A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F34C0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about</w:t>
            </w:r>
            <w:r w:rsidR="00B278A7" w:rsidRPr="00B278A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incorporat</w:t>
            </w:r>
            <w:r w:rsidR="004E4D8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ing </w:t>
            </w:r>
            <w:r w:rsidR="00B278A7" w:rsidRPr="00B278A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Island Woods and </w:t>
            </w:r>
            <w:r w:rsidR="001A72A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Wyatt Park </w:t>
            </w:r>
            <w:r w:rsidR="005441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neighborhoods</w:t>
            </w:r>
            <w:r w:rsidR="00BA03E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into the Wenzel Park HOA.  These neighborhoods either have a defunct HOA or are unestablished</w:t>
            </w:r>
            <w:r w:rsidR="001031DD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. </w:t>
            </w:r>
            <w:r w:rsidR="00B278A7" w:rsidRPr="00B278A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1031DD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The members </w:t>
            </w:r>
            <w:r w:rsidR="00B2772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present </w:t>
            </w:r>
            <w:r w:rsidR="001031DD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were asked if there was still interest. By show of hands, the majority of the HOA members present were no longer interested in pursuing this. </w:t>
            </w:r>
            <w:r w:rsidR="0025175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This will not be pursued.</w:t>
            </w:r>
          </w:p>
          <w:p w14:paraId="12153A9D" w14:textId="77777777" w:rsidR="00ED2242" w:rsidRDefault="00ED2242" w:rsidP="001E0CE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0CA806DF" w14:textId="20196514" w:rsidR="004C5B73" w:rsidRPr="00222348" w:rsidRDefault="001C71BF" w:rsidP="001E0C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Lot 32 was sold in 2021 and the owners have </w:t>
            </w:r>
            <w:r w:rsidR="00C43D4B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turned the property into a </w:t>
            </w:r>
            <w:r w:rsidR="00120BBB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full time </w:t>
            </w:r>
            <w:r w:rsidR="002633B3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short-term</w:t>
            </w:r>
            <w:r w:rsidR="00C43D4B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Airbnb. </w:t>
            </w:r>
            <w:r w:rsidR="0007095D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Also </w:t>
            </w:r>
            <w:r w:rsidR="0025175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</w:t>
            </w:r>
            <w:r w:rsidR="0007095D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ot</w:t>
            </w:r>
            <w:r w:rsidR="00120BBB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70 functions as a part-time Airbnb. </w:t>
            </w:r>
            <w:r w:rsidR="00C43D4B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This is concerning to many homeowners</w:t>
            </w:r>
            <w:r w:rsidR="002633B3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in the association. The </w:t>
            </w:r>
            <w:r w:rsidR="0002229E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</w:t>
            </w:r>
            <w:r w:rsidR="002633B3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ounty and City of HV have no</w:t>
            </w:r>
            <w:r w:rsidR="00E4670C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enforcement</w:t>
            </w:r>
            <w:r w:rsidR="00546D7B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codes</w:t>
            </w:r>
            <w:r w:rsidR="00E4670C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pertaining to short term rentals and neither do </w:t>
            </w:r>
            <w:r w:rsidR="0002229E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the Wenzel Park</w:t>
            </w:r>
            <w:r w:rsidR="00E4670C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HOA CC</w:t>
            </w:r>
            <w:r w:rsidR="0002229E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&amp;</w:t>
            </w:r>
            <w:r w:rsidR="00E4670C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Rs. </w:t>
            </w:r>
            <w:r w:rsidR="002E45BC">
              <w:t xml:space="preserve"> </w:t>
            </w:r>
            <w:r w:rsidR="002E45BC" w:rsidRPr="002A0396">
              <w:rPr>
                <w:sz w:val="20"/>
                <w:szCs w:val="20"/>
              </w:rPr>
              <w:t xml:space="preserve">A discussion was </w:t>
            </w:r>
            <w:r w:rsidR="00FB27CA" w:rsidRPr="002A0396">
              <w:rPr>
                <w:sz w:val="20"/>
                <w:szCs w:val="20"/>
              </w:rPr>
              <w:t xml:space="preserve">had regarding the </w:t>
            </w:r>
            <w:r w:rsidR="002E45BC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Pros and Cons </w:t>
            </w:r>
            <w:r w:rsidR="00FB27CA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of allowing short term rentals in our neighborhood</w:t>
            </w:r>
            <w:r w:rsidR="00A32E1F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  <w:r w:rsidR="002E45BC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A32E1F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120BBB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Several </w:t>
            </w:r>
            <w:r w:rsidR="006716A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of the </w:t>
            </w:r>
            <w:r w:rsidR="00A32E1F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members </w:t>
            </w:r>
            <w:r w:rsidR="00DB3091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present expressed concern that short term rentals</w:t>
            </w:r>
            <w:r w:rsidR="00120BBB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DB3091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pose a safety risk and devalue </w:t>
            </w:r>
            <w:r w:rsidR="0007095D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property. </w:t>
            </w:r>
            <w:r w:rsidR="00A32E1F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By way of </w:t>
            </w:r>
            <w:r w:rsidR="0007095D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a show of hands, a unanimous vote to pursue revision of the CC&amp;Rs to restrict </w:t>
            </w:r>
            <w:r w:rsidR="00120BBB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short term</w:t>
            </w:r>
            <w:r w:rsidR="00E3637A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rentals was approve</w:t>
            </w:r>
            <w:r w:rsidR="00B66B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</w:t>
            </w:r>
            <w:r w:rsidR="00E3637A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.  The members acknowledge that Lot 32 and Lot 70 would still be </w:t>
            </w:r>
            <w:r w:rsidR="002A0396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permitted</w:t>
            </w:r>
            <w:r w:rsidR="00E3637A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to operate as a short-term rental </w:t>
            </w:r>
            <w:r w:rsidR="002A0396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until a change of owners</w:t>
            </w:r>
            <w:r w:rsidR="00B66B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hip </w:t>
            </w:r>
            <w:r w:rsidR="002A0396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occurred.  The</w:t>
            </w:r>
            <w:r w:rsidR="002E45BC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2A0396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</w:t>
            </w:r>
            <w:r w:rsidR="002E45BC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ost </w:t>
            </w:r>
            <w:r w:rsidR="002A0396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to revise the CC&amp;Rs is</w:t>
            </w:r>
            <w:r w:rsidR="002E45BC" w:rsidRP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between $2,000-$2500 </w:t>
            </w:r>
            <w:r w:rsidR="006E096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. </w:t>
            </w:r>
            <w:r w:rsid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6E096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</w:t>
            </w:r>
            <w:r w:rsidR="002A039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he HOA President will </w:t>
            </w:r>
            <w:r w:rsidR="00894D1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retain a HOA attorney to assist with the revision. </w:t>
            </w:r>
          </w:p>
        </w:tc>
      </w:tr>
      <w:tr w:rsidR="00ED2242" w:rsidRPr="00ED2242" w14:paraId="06A6DC42" w14:textId="77777777" w:rsidTr="00773C74">
        <w:trPr>
          <w:trHeight w:val="179"/>
        </w:trPr>
        <w:tc>
          <w:tcPr>
            <w:tcW w:w="972" w:type="dxa"/>
            <w:shd w:val="clear" w:color="auto" w:fill="FFE599" w:themeFill="accent4" w:themeFillTint="66"/>
          </w:tcPr>
          <w:p w14:paraId="4A786007" w14:textId="77777777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FFE599" w:themeFill="accent4" w:themeFillTint="66"/>
          </w:tcPr>
          <w:p w14:paraId="0708D85E" w14:textId="77777777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FE599" w:themeFill="accent4" w:themeFillTint="66"/>
          </w:tcPr>
          <w:p w14:paraId="7961503B" w14:textId="77777777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3682" w:type="dxa"/>
            <w:shd w:val="clear" w:color="auto" w:fill="FFE599" w:themeFill="accent4" w:themeFillTint="66"/>
          </w:tcPr>
          <w:p w14:paraId="254FEF95" w14:textId="77777777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D2242" w:rsidRPr="00ED2242" w14:paraId="76EECD6D" w14:textId="77777777" w:rsidTr="00ED2242">
        <w:tc>
          <w:tcPr>
            <w:tcW w:w="972" w:type="dxa"/>
          </w:tcPr>
          <w:p w14:paraId="4A5C7B23" w14:textId="1ACD68C3" w:rsidR="00ED2242" w:rsidRPr="00ED2242" w:rsidRDefault="00ED2242" w:rsidP="00ED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6:</w:t>
            </w:r>
            <w:r w:rsidR="0022234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112" w:type="dxa"/>
          </w:tcPr>
          <w:p w14:paraId="42BBD56C" w14:textId="77777777" w:rsidR="00ED2242" w:rsidRDefault="00ED2242" w:rsidP="00773C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242">
              <w:rPr>
                <w:rFonts w:ascii="Calibri" w:eastAsia="Times New Roman" w:hAnsi="Calibri" w:cs="Times New Roman"/>
                <w:sz w:val="20"/>
                <w:szCs w:val="20"/>
              </w:rPr>
              <w:t>Prospects for Secretary Role</w:t>
            </w:r>
            <w:r w:rsidR="0030004F">
              <w:rPr>
                <w:rFonts w:ascii="Calibri" w:eastAsia="Times New Roman" w:hAnsi="Calibri" w:cs="Times New Roman"/>
                <w:sz w:val="20"/>
                <w:szCs w:val="20"/>
              </w:rPr>
              <w:t xml:space="preserve">: </w:t>
            </w:r>
            <w:r w:rsidR="0030004F">
              <w:t xml:space="preserve"> E</w:t>
            </w:r>
            <w:r w:rsidR="0030004F" w:rsidRPr="0030004F">
              <w:rPr>
                <w:rFonts w:ascii="Calibri" w:eastAsia="Times New Roman" w:hAnsi="Calibri" w:cs="Times New Roman"/>
                <w:sz w:val="20"/>
                <w:szCs w:val="20"/>
              </w:rPr>
              <w:t>lection</w:t>
            </w:r>
          </w:p>
          <w:p w14:paraId="22AA9DCF" w14:textId="77777777" w:rsidR="00773C74" w:rsidRPr="00773C74" w:rsidRDefault="00773C74" w:rsidP="00773C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3C74">
              <w:rPr>
                <w:rFonts w:ascii="Calibri" w:eastAsia="Times New Roman" w:hAnsi="Calibri" w:cs="Times New Roman"/>
                <w:sz w:val="20"/>
                <w:szCs w:val="20"/>
              </w:rPr>
              <w:t>Completion of Voting and Counting of the ballots</w:t>
            </w:r>
          </w:p>
          <w:p w14:paraId="0674C174" w14:textId="687BBF96" w:rsidR="00773C74" w:rsidRPr="00773C74" w:rsidRDefault="00773C74" w:rsidP="00773C7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3C74">
              <w:rPr>
                <w:rFonts w:ascii="Calibri" w:eastAsia="Times New Roman" w:hAnsi="Calibri" w:cs="Times New Roman"/>
                <w:sz w:val="20"/>
                <w:szCs w:val="20"/>
              </w:rPr>
              <w:t>All Proxy Votes to be confirmed and applied as written</w:t>
            </w:r>
          </w:p>
          <w:p w14:paraId="482E3BE8" w14:textId="6E71C27E" w:rsidR="00773C74" w:rsidRPr="00773C74" w:rsidRDefault="00773C74" w:rsidP="00773C7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3C74">
              <w:rPr>
                <w:rFonts w:ascii="Calibri" w:eastAsia="Times New Roman" w:hAnsi="Calibri" w:cs="Times New Roman"/>
                <w:sz w:val="20"/>
                <w:szCs w:val="20"/>
              </w:rPr>
              <w:t xml:space="preserve">Must have a quorum </w:t>
            </w:r>
          </w:p>
          <w:p w14:paraId="0C887D18" w14:textId="1D3F5649" w:rsidR="00773C74" w:rsidRPr="00773C74" w:rsidRDefault="00773C74" w:rsidP="00773C7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73C74">
              <w:rPr>
                <w:rFonts w:ascii="Calibri" w:eastAsia="Times New Roman" w:hAnsi="Calibri" w:cs="Times New Roman"/>
                <w:sz w:val="20"/>
                <w:szCs w:val="20"/>
              </w:rPr>
              <w:t>Board to vote, second, and approve new Secretary.</w:t>
            </w:r>
          </w:p>
        </w:tc>
        <w:tc>
          <w:tcPr>
            <w:tcW w:w="1584" w:type="dxa"/>
          </w:tcPr>
          <w:p w14:paraId="7172EAAF" w14:textId="77777777" w:rsidR="00773C74" w:rsidRDefault="00773C7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</w:t>
            </w:r>
            <w:r w:rsidR="00ED2242"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ll</w:t>
            </w: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14:paraId="475B3B64" w14:textId="77777777" w:rsidR="00773C74" w:rsidRDefault="00773C7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14:paraId="6B33A65B" w14:textId="1202391B" w:rsidR="00ED2242" w:rsidRPr="00ED2242" w:rsidRDefault="00773C74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Secretary</w:t>
            </w:r>
          </w:p>
        </w:tc>
        <w:tc>
          <w:tcPr>
            <w:tcW w:w="3682" w:type="dxa"/>
          </w:tcPr>
          <w:p w14:paraId="4A582C43" w14:textId="254926FF" w:rsidR="00773C74" w:rsidRPr="00ED2242" w:rsidRDefault="005479EE" w:rsidP="00773C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</w:t>
            </w:r>
            <w:r w:rsidR="001E0CE5">
              <w:rPr>
                <w:rFonts w:ascii="Calibri" w:eastAsia="Times New Roman" w:hAnsi="Calibri" w:cs="Times New Roman"/>
                <w:sz w:val="20"/>
                <w:szCs w:val="20"/>
              </w:rPr>
              <w:t xml:space="preserve"> count of </w:t>
            </w:r>
            <w:r w:rsidR="00773C74">
              <w:rPr>
                <w:rFonts w:ascii="Calibri" w:eastAsia="Times New Roman" w:hAnsi="Calibri" w:cs="Times New Roman"/>
                <w:sz w:val="20"/>
                <w:szCs w:val="20"/>
              </w:rPr>
              <w:t>b</w:t>
            </w:r>
            <w:r w:rsidR="0030004F">
              <w:rPr>
                <w:rFonts w:ascii="Calibri" w:eastAsia="Times New Roman" w:hAnsi="Calibri" w:cs="Times New Roman"/>
                <w:sz w:val="20"/>
                <w:szCs w:val="20"/>
              </w:rPr>
              <w:t>allots</w:t>
            </w:r>
            <w:r w:rsidR="001E0CE5">
              <w:rPr>
                <w:rFonts w:ascii="Calibri" w:eastAsia="Times New Roman" w:hAnsi="Calibri" w:cs="Times New Roman"/>
                <w:sz w:val="20"/>
                <w:szCs w:val="20"/>
              </w:rPr>
              <w:t xml:space="preserve"> showed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a </w:t>
            </w:r>
            <w:r w:rsidR="008B6299">
              <w:rPr>
                <w:rFonts w:ascii="Calibri" w:eastAsia="Times New Roman" w:hAnsi="Calibri" w:cs="Times New Roman"/>
                <w:sz w:val="20"/>
                <w:szCs w:val="20"/>
              </w:rPr>
              <w:t xml:space="preserve">sufficient </w:t>
            </w:r>
            <w:r w:rsidR="0030004F">
              <w:rPr>
                <w:rFonts w:ascii="Calibri" w:eastAsia="Times New Roman" w:hAnsi="Calibri" w:cs="Times New Roman"/>
                <w:sz w:val="20"/>
                <w:szCs w:val="20"/>
              </w:rPr>
              <w:t>number of</w:t>
            </w:r>
            <w:r w:rsidR="008B6299">
              <w:rPr>
                <w:rFonts w:ascii="Calibri" w:eastAsia="Times New Roman" w:hAnsi="Calibri" w:cs="Times New Roman"/>
                <w:sz w:val="20"/>
                <w:szCs w:val="20"/>
              </w:rPr>
              <w:t xml:space="preserve"> votes to confirm </w:t>
            </w:r>
            <w:r w:rsidR="0030004F">
              <w:rPr>
                <w:rFonts w:ascii="Calibri" w:eastAsia="Times New Roman" w:hAnsi="Calibri" w:cs="Times New Roman"/>
                <w:sz w:val="20"/>
                <w:szCs w:val="20"/>
              </w:rPr>
              <w:t>Lydia Kaseweter,</w:t>
            </w:r>
            <w:r w:rsidR="0030004F" w:rsidRPr="00ED2242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30004F">
              <w:rPr>
                <w:rFonts w:ascii="Calibri" w:eastAsia="Times New Roman" w:hAnsi="Calibri" w:cs="Times New Roman"/>
                <w:sz w:val="20"/>
                <w:szCs w:val="20"/>
              </w:rPr>
              <w:t>Lot 31</w:t>
            </w:r>
            <w:r w:rsidR="003000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4328F6">
              <w:rPr>
                <w:rFonts w:ascii="Calibri" w:eastAsia="Times New Roman" w:hAnsi="Calibri" w:cs="Times New Roman"/>
                <w:sz w:val="20"/>
                <w:szCs w:val="20"/>
              </w:rPr>
              <w:t>into the secretary role for the 2022-2024 term.</w:t>
            </w:r>
            <w:r w:rsidR="00773C7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773C74" w:rsidRPr="00ED2242">
              <w:rPr>
                <w:rFonts w:ascii="Calibri" w:eastAsia="Times New Roman" w:hAnsi="Calibri" w:cs="Times New Roman"/>
                <w:sz w:val="20"/>
                <w:szCs w:val="20"/>
              </w:rPr>
              <w:t xml:space="preserve">32 votes in favor, none opposed.  </w:t>
            </w:r>
          </w:p>
          <w:p w14:paraId="3781EA71" w14:textId="1745FC8A" w:rsidR="00ED2242" w:rsidRPr="00ED2242" w:rsidRDefault="00773C74" w:rsidP="00ED224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242">
              <w:rPr>
                <w:rFonts w:ascii="Calibri" w:eastAsia="Times New Roman" w:hAnsi="Calibri" w:cs="Times New Roman"/>
                <w:sz w:val="20"/>
                <w:szCs w:val="20"/>
              </w:rPr>
              <w:t>The HOA board voted and seconded the approval of the new HOA secretary,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Lydia Kaseweter. Congratulations Lydia!</w:t>
            </w:r>
          </w:p>
          <w:p w14:paraId="0E0BD4C9" w14:textId="77777777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242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ED2242" w:rsidRPr="00ED2242" w14:paraId="0FC73340" w14:textId="77777777" w:rsidTr="00773C74">
        <w:trPr>
          <w:trHeight w:val="134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18EE957" w14:textId="77777777" w:rsidR="00ED2242" w:rsidRPr="00ED2242" w:rsidRDefault="00ED2242" w:rsidP="00ED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29A5831" w14:textId="77777777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636225F" w14:textId="77777777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5D176CB" w14:textId="77777777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D2242" w:rsidRPr="00ED2242" w14:paraId="03DFB448" w14:textId="77777777" w:rsidTr="00ED2242">
        <w:trPr>
          <w:trHeight w:val="332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6805C822" w14:textId="5E720A71" w:rsidR="00ED2242" w:rsidRPr="00ED2242" w:rsidRDefault="00DC17EC" w:rsidP="00ED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6</w:t>
            </w:r>
            <w:r w:rsidR="00ED2242"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:</w:t>
            </w:r>
            <w:r w:rsidR="00773C7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14:paraId="40DBAECC" w14:textId="77777777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242">
              <w:rPr>
                <w:rFonts w:ascii="Calibri" w:eastAsia="Times New Roman" w:hAnsi="Calibri" w:cs="Times New Roman"/>
                <w:sz w:val="20"/>
                <w:szCs w:val="20"/>
              </w:rPr>
              <w:t>Open Floor to Property Owners</w:t>
            </w:r>
          </w:p>
          <w:p w14:paraId="46CD97E8" w14:textId="77777777" w:rsidR="00ED2242" w:rsidRPr="00ED2242" w:rsidRDefault="00ED2242" w:rsidP="00ED2242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242">
              <w:rPr>
                <w:rFonts w:ascii="Calibri" w:eastAsia="Times New Roman" w:hAnsi="Calibri" w:cs="Times New Roman"/>
                <w:sz w:val="20"/>
                <w:szCs w:val="20"/>
              </w:rPr>
              <w:t>HOA and/or Neighborhood topics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58498A47" w14:textId="58293B8B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auto"/>
          </w:tcPr>
          <w:p w14:paraId="4D4C5182" w14:textId="4A1FBD78" w:rsidR="00ED2242" w:rsidRPr="00ED2242" w:rsidRDefault="00CA6B84" w:rsidP="00CA6B8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None</w:t>
            </w:r>
          </w:p>
        </w:tc>
      </w:tr>
      <w:tr w:rsidR="00ED2242" w:rsidRPr="00ED2242" w14:paraId="751503F4" w14:textId="77777777" w:rsidTr="008F1E9E">
        <w:trPr>
          <w:trHeight w:val="206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813EFA5" w14:textId="77777777" w:rsidR="00ED2242" w:rsidRPr="00ED2242" w:rsidRDefault="00ED2242" w:rsidP="00ED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FDD5D56" w14:textId="77777777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A52A8A0" w14:textId="77777777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01BC9AE" w14:textId="77777777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D2242" w:rsidRPr="00ED2242" w14:paraId="1D5E0C9F" w14:textId="77777777" w:rsidTr="00ED2242">
        <w:trPr>
          <w:trHeight w:val="332"/>
        </w:trPr>
        <w:tc>
          <w:tcPr>
            <w:tcW w:w="972" w:type="dxa"/>
            <w:shd w:val="clear" w:color="auto" w:fill="auto"/>
          </w:tcPr>
          <w:p w14:paraId="4245AFA3" w14:textId="23E9B749" w:rsidR="00ED2242" w:rsidRPr="00ED2242" w:rsidRDefault="00ED2242" w:rsidP="00ED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ED224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7:</w:t>
            </w:r>
            <w:r w:rsidR="00CA6B8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112" w:type="dxa"/>
            <w:shd w:val="clear" w:color="auto" w:fill="auto"/>
          </w:tcPr>
          <w:p w14:paraId="066FCDC5" w14:textId="77777777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D2242">
              <w:rPr>
                <w:rFonts w:ascii="Calibri" w:eastAsia="Times New Roman" w:hAnsi="Calibri" w:cs="Times New Roman"/>
                <w:sz w:val="20"/>
                <w:szCs w:val="20"/>
              </w:rPr>
              <w:t>Close the Floor and Adjourn</w:t>
            </w:r>
          </w:p>
        </w:tc>
        <w:tc>
          <w:tcPr>
            <w:tcW w:w="1584" w:type="dxa"/>
            <w:shd w:val="clear" w:color="auto" w:fill="auto"/>
          </w:tcPr>
          <w:p w14:paraId="0A35B1F9" w14:textId="77777777" w:rsidR="00ED2242" w:rsidRPr="00ED2242" w:rsidRDefault="00ED2242" w:rsidP="00ED224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3682" w:type="dxa"/>
            <w:shd w:val="clear" w:color="auto" w:fill="auto"/>
          </w:tcPr>
          <w:p w14:paraId="48F941CC" w14:textId="2F59A4D6" w:rsidR="00ED2242" w:rsidRPr="00ED2242" w:rsidRDefault="008F1E9E" w:rsidP="00ED224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There being no further business brought forth to the HOA board the meeting was adjourned.</w:t>
            </w:r>
          </w:p>
        </w:tc>
      </w:tr>
    </w:tbl>
    <w:p w14:paraId="6A7FDB86" w14:textId="7187A1D5" w:rsidR="002731C9" w:rsidRDefault="002731C9" w:rsidP="00ED2242">
      <w:pPr>
        <w:pStyle w:val="ListParagraph"/>
        <w:rPr>
          <w:noProof/>
        </w:rPr>
      </w:pPr>
    </w:p>
    <w:p w14:paraId="7B585938" w14:textId="77777777" w:rsidR="002731C9" w:rsidRPr="002731C9" w:rsidRDefault="002731C9" w:rsidP="002731C9">
      <w:pPr>
        <w:rPr>
          <w:noProof/>
        </w:rPr>
      </w:pPr>
    </w:p>
    <w:sectPr w:rsidR="002731C9" w:rsidRPr="00273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8558" w14:textId="77777777" w:rsidR="008A787F" w:rsidRDefault="008A787F" w:rsidP="008A787F">
      <w:pPr>
        <w:spacing w:after="0" w:line="240" w:lineRule="auto"/>
      </w:pPr>
      <w:r>
        <w:separator/>
      </w:r>
    </w:p>
  </w:endnote>
  <w:endnote w:type="continuationSeparator" w:id="0">
    <w:p w14:paraId="2FF1E462" w14:textId="77777777" w:rsidR="008A787F" w:rsidRDefault="008A787F" w:rsidP="008A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">
    <w:altName w:val="Sitka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0C6D" w14:textId="77777777" w:rsidR="008A787F" w:rsidRDefault="008A787F" w:rsidP="008A787F">
      <w:pPr>
        <w:spacing w:after="0" w:line="240" w:lineRule="auto"/>
      </w:pPr>
      <w:r>
        <w:separator/>
      </w:r>
    </w:p>
  </w:footnote>
  <w:footnote w:type="continuationSeparator" w:id="0">
    <w:p w14:paraId="35FA6A1C" w14:textId="77777777" w:rsidR="008A787F" w:rsidRDefault="008A787F" w:rsidP="008A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031F"/>
    <w:multiLevelType w:val="hybridMultilevel"/>
    <w:tmpl w:val="71F65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44675"/>
    <w:multiLevelType w:val="hybridMultilevel"/>
    <w:tmpl w:val="5CC216B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A5703CC"/>
    <w:multiLevelType w:val="hybridMultilevel"/>
    <w:tmpl w:val="BA2A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30765"/>
    <w:multiLevelType w:val="hybridMultilevel"/>
    <w:tmpl w:val="3C40B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1C6FEA"/>
    <w:multiLevelType w:val="hybridMultilevel"/>
    <w:tmpl w:val="44AE1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9067B7"/>
    <w:multiLevelType w:val="hybridMultilevel"/>
    <w:tmpl w:val="59A6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4127E"/>
    <w:multiLevelType w:val="hybridMultilevel"/>
    <w:tmpl w:val="4146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343C0"/>
    <w:multiLevelType w:val="hybridMultilevel"/>
    <w:tmpl w:val="BB88E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20424"/>
    <w:multiLevelType w:val="hybridMultilevel"/>
    <w:tmpl w:val="97E6F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551DA7"/>
    <w:multiLevelType w:val="hybridMultilevel"/>
    <w:tmpl w:val="990E3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035BBD"/>
    <w:multiLevelType w:val="hybridMultilevel"/>
    <w:tmpl w:val="570E4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8097547">
    <w:abstractNumId w:val="4"/>
  </w:num>
  <w:num w:numId="2" w16cid:durableId="1172640860">
    <w:abstractNumId w:val="2"/>
  </w:num>
  <w:num w:numId="3" w16cid:durableId="1069107838">
    <w:abstractNumId w:val="5"/>
  </w:num>
  <w:num w:numId="4" w16cid:durableId="166293757">
    <w:abstractNumId w:val="7"/>
  </w:num>
  <w:num w:numId="5" w16cid:durableId="1796944079">
    <w:abstractNumId w:val="0"/>
  </w:num>
  <w:num w:numId="6" w16cid:durableId="697196749">
    <w:abstractNumId w:val="1"/>
  </w:num>
  <w:num w:numId="7" w16cid:durableId="1818692649">
    <w:abstractNumId w:val="8"/>
  </w:num>
  <w:num w:numId="8" w16cid:durableId="1118524018">
    <w:abstractNumId w:val="3"/>
  </w:num>
  <w:num w:numId="9" w16cid:durableId="1775900398">
    <w:abstractNumId w:val="6"/>
  </w:num>
  <w:num w:numId="10" w16cid:durableId="842627169">
    <w:abstractNumId w:val="10"/>
  </w:num>
  <w:num w:numId="11" w16cid:durableId="13963907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E7"/>
    <w:rsid w:val="00020C71"/>
    <w:rsid w:val="0002229E"/>
    <w:rsid w:val="0007095D"/>
    <w:rsid w:val="0008490C"/>
    <w:rsid w:val="000A7859"/>
    <w:rsid w:val="000B79EA"/>
    <w:rsid w:val="000E0591"/>
    <w:rsid w:val="000F4B1C"/>
    <w:rsid w:val="001031DD"/>
    <w:rsid w:val="00103E5B"/>
    <w:rsid w:val="00120BBB"/>
    <w:rsid w:val="001A72A6"/>
    <w:rsid w:val="001C71BF"/>
    <w:rsid w:val="001E0CE5"/>
    <w:rsid w:val="00222348"/>
    <w:rsid w:val="00251753"/>
    <w:rsid w:val="002633B3"/>
    <w:rsid w:val="002731C9"/>
    <w:rsid w:val="00283FE2"/>
    <w:rsid w:val="002A0396"/>
    <w:rsid w:val="002A4655"/>
    <w:rsid w:val="002B6763"/>
    <w:rsid w:val="002E45BC"/>
    <w:rsid w:val="0030004F"/>
    <w:rsid w:val="00333C40"/>
    <w:rsid w:val="00431B1A"/>
    <w:rsid w:val="004328F6"/>
    <w:rsid w:val="0045583F"/>
    <w:rsid w:val="00457CAB"/>
    <w:rsid w:val="004828D5"/>
    <w:rsid w:val="00494041"/>
    <w:rsid w:val="004C5B73"/>
    <w:rsid w:val="004E4D83"/>
    <w:rsid w:val="005078B8"/>
    <w:rsid w:val="005149D1"/>
    <w:rsid w:val="00540DE7"/>
    <w:rsid w:val="005441BC"/>
    <w:rsid w:val="00546D7B"/>
    <w:rsid w:val="005479EE"/>
    <w:rsid w:val="005850AC"/>
    <w:rsid w:val="005F156B"/>
    <w:rsid w:val="006716AC"/>
    <w:rsid w:val="00677FFA"/>
    <w:rsid w:val="006E0961"/>
    <w:rsid w:val="006E52C7"/>
    <w:rsid w:val="00773C74"/>
    <w:rsid w:val="007E2033"/>
    <w:rsid w:val="007F4A27"/>
    <w:rsid w:val="007F4D82"/>
    <w:rsid w:val="00836A24"/>
    <w:rsid w:val="008371CA"/>
    <w:rsid w:val="00845877"/>
    <w:rsid w:val="00850411"/>
    <w:rsid w:val="00894D1F"/>
    <w:rsid w:val="008A787F"/>
    <w:rsid w:val="008B6299"/>
    <w:rsid w:val="008F1E9E"/>
    <w:rsid w:val="008F5960"/>
    <w:rsid w:val="00913630"/>
    <w:rsid w:val="00995BE1"/>
    <w:rsid w:val="009C0FFA"/>
    <w:rsid w:val="00A32E1F"/>
    <w:rsid w:val="00AE5030"/>
    <w:rsid w:val="00B07B5B"/>
    <w:rsid w:val="00B10DFB"/>
    <w:rsid w:val="00B2772A"/>
    <w:rsid w:val="00B278A7"/>
    <w:rsid w:val="00B32C7B"/>
    <w:rsid w:val="00B33500"/>
    <w:rsid w:val="00B65B0E"/>
    <w:rsid w:val="00B66B7F"/>
    <w:rsid w:val="00BA03E8"/>
    <w:rsid w:val="00C0168D"/>
    <w:rsid w:val="00C43D4B"/>
    <w:rsid w:val="00C875BE"/>
    <w:rsid w:val="00CA6B84"/>
    <w:rsid w:val="00CB7A9D"/>
    <w:rsid w:val="00D023AA"/>
    <w:rsid w:val="00D56AAF"/>
    <w:rsid w:val="00DB3091"/>
    <w:rsid w:val="00DC17EC"/>
    <w:rsid w:val="00DC1A61"/>
    <w:rsid w:val="00DC4954"/>
    <w:rsid w:val="00DD5CC7"/>
    <w:rsid w:val="00DF4D61"/>
    <w:rsid w:val="00E36067"/>
    <w:rsid w:val="00E3637A"/>
    <w:rsid w:val="00E4670C"/>
    <w:rsid w:val="00E6065B"/>
    <w:rsid w:val="00E66BDA"/>
    <w:rsid w:val="00E74676"/>
    <w:rsid w:val="00ED14D2"/>
    <w:rsid w:val="00ED2242"/>
    <w:rsid w:val="00EE1B07"/>
    <w:rsid w:val="00EE2B4D"/>
    <w:rsid w:val="00F03764"/>
    <w:rsid w:val="00F12C10"/>
    <w:rsid w:val="00F1683D"/>
    <w:rsid w:val="00F3086E"/>
    <w:rsid w:val="00F34C09"/>
    <w:rsid w:val="00F5164D"/>
    <w:rsid w:val="00F53533"/>
    <w:rsid w:val="00F87ECC"/>
    <w:rsid w:val="00F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E8D96"/>
  <w15:chartTrackingRefBased/>
  <w15:docId w15:val="{B0E4F332-B16E-44F1-833E-C53AD6B7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4D61"/>
    <w:pPr>
      <w:autoSpaceDE w:val="0"/>
      <w:autoSpaceDN w:val="0"/>
      <w:adjustRightInd w:val="0"/>
      <w:spacing w:after="0" w:line="240" w:lineRule="auto"/>
    </w:pPr>
    <w:rPr>
      <w:rFonts w:ascii="Sitka" w:hAnsi="Sitka" w:cs="Sitk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22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nzelparkhoa.com/wp-content/uploads/2020/09/WP_CC_R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Grande</dc:creator>
  <cp:keywords/>
  <dc:description/>
  <cp:lastModifiedBy>Kaseweter, Lydia M</cp:lastModifiedBy>
  <cp:revision>101</cp:revision>
  <dcterms:created xsi:type="dcterms:W3CDTF">2022-09-14T16:41:00Z</dcterms:created>
  <dcterms:modified xsi:type="dcterms:W3CDTF">2022-09-14T18:56:00Z</dcterms:modified>
</cp:coreProperties>
</file>